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DC3499" w:rsidRPr="00DC3499" w:rsidTr="00DC3499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DC3499" w:rsidRPr="00DC349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C3499" w:rsidRPr="00DC3499" w:rsidRDefault="00DC3499" w:rsidP="00DC3499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DC3499">
                    <w:rPr>
                      <w:rFonts w:ascii="Arial" w:eastAsia="Times New Roman" w:hAnsi="Arial" w:cs="Arial"/>
                      <w:sz w:val="16"/>
                      <w:szCs w:val="16"/>
                    </w:rPr>
                    <w:t>13 Ekim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C3499" w:rsidRPr="00DC3499" w:rsidRDefault="00DC3499" w:rsidP="00DC3499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</w:rPr>
                  </w:pPr>
                  <w:r w:rsidRPr="00DC3499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C3499" w:rsidRPr="00DC3499" w:rsidRDefault="00DC3499" w:rsidP="00DC349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proofErr w:type="gramStart"/>
                  <w:r w:rsidRPr="00DC3499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28440</w:t>
                  </w:r>
                  <w:proofErr w:type="gramEnd"/>
                </w:p>
              </w:tc>
            </w:tr>
            <w:tr w:rsidR="00DC3499" w:rsidRPr="00DC349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DC3499" w:rsidRPr="00DC3499" w:rsidRDefault="00DC3499" w:rsidP="00DC34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DC3499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</w:rPr>
                    <w:t>BAKANLAR KURULU KARARI</w:t>
                  </w:r>
                </w:p>
              </w:tc>
            </w:tr>
            <w:tr w:rsidR="00DC3499" w:rsidRPr="00DC349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DC3499" w:rsidRPr="00DC3499" w:rsidRDefault="00DC3499" w:rsidP="00DC3499">
                  <w:pPr>
                    <w:tabs>
                      <w:tab w:val="left" w:pos="566"/>
                      <w:tab w:val="center" w:pos="3543"/>
                    </w:tabs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u w:val="single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u w:val="single"/>
                      <w:lang w:val="en-GB"/>
                    </w:rPr>
                    <w:t>Sayısı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u w:val="single"/>
                      <w:lang w:val="en-GB"/>
                    </w:rPr>
                    <w:t xml:space="preserve"> : 2012/3803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  <w:tab w:val="center" w:pos="3543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Ekli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“6306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Kanun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Sahiplerince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Kullanılacak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Desteğine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İlişkin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Karar”ın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yürürlüğe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konulması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Başbakan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Yardımcılığının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3/10/2012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tarihli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16072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yazısı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üzerine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, 6306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Afet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Riski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Altındaki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Alanların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Dönüştürülmesi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Hakkında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7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nci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maddesine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göre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Bakanlar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 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Kurulu’nca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8/10/2012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tarihinde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kararlaştırılmıştır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  <w:tab w:val="center" w:pos="3543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65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b/>
                      <w:sz w:val="18"/>
                      <w:lang w:val="en-GB"/>
                    </w:rPr>
                    <w:tab/>
                    <w:t>Abdullah GÜL</w:t>
                  </w:r>
                </w:p>
                <w:p w:rsidR="00DC3499" w:rsidRPr="00DC3499" w:rsidRDefault="00DC3499" w:rsidP="00DC3499">
                  <w:pPr>
                    <w:tabs>
                      <w:tab w:val="center" w:pos="65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ab/>
                    <w:t>CUMHURBAŞKANI</w:t>
                  </w:r>
                </w:p>
                <w:p w:rsidR="00DC3499" w:rsidRPr="00DC3499" w:rsidRDefault="00DC3499" w:rsidP="00DC3499">
                  <w:pPr>
                    <w:tabs>
                      <w:tab w:val="center" w:pos="5940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8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Recep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Tayyip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ERDOĞAN</w:t>
                  </w:r>
                </w:p>
                <w:p w:rsidR="00DC3499" w:rsidRPr="00DC3499" w:rsidRDefault="00DC3499" w:rsidP="00DC3499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Başbakan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850"/>
                      <w:tab w:val="center" w:pos="2636"/>
                      <w:tab w:val="center" w:pos="4450"/>
                      <w:tab w:val="center" w:pos="6200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B. ARINÇ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A. BABACAN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B. ATALAY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B. BOZDAĞ</w:t>
                  </w: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Başbakan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Yardımcısı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Başbakan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Yardımcısı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Başbakan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Yardımcısı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Başbakan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Yardımcısı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S. ERGİN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F. ŞAHİN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E. BAĞIŞ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N. ERGÜN</w:t>
                  </w: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Adalet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Aile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Sosyal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Politikalar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Avrupa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Birliği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Bilim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Sanayi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Teknoloji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F. ÇELİK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E. BAYRAKTAR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A. DAVUTOĞLU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M. Z. ÇAĞLAYAN</w:t>
                  </w: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Çalışma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Sosyal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Güvenlik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Çevre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Şehircilik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Dışişleri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Ekonomi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T. YILDIZ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S. KILIÇ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M. M. EKER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H. YAZICI</w:t>
                  </w: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Enerji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Tabii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Kaynaklar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Gençlik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Spor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Gıda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Tarım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Hayvancılık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Gümrük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Ticaret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İ. N. ŞAHİN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C. YILMAZ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E. GÜNAY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M. ŞİMŞEK</w:t>
                  </w:r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3171"/>
                      <w:tab w:val="center" w:pos="5331"/>
                      <w:tab w:val="center" w:pos="74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İçişleri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Kalkınma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Kültür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Turizm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Maliye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914"/>
                      <w:tab w:val="center" w:pos="2690"/>
                      <w:tab w:val="center" w:pos="4434"/>
                      <w:tab w:val="center" w:pos="6199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2271"/>
                      <w:tab w:val="center" w:pos="4251"/>
                      <w:tab w:val="center" w:pos="65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Ö. DİNÇER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İ. YILMAZ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V. EROĞLU</w:t>
                  </w:r>
                </w:p>
                <w:p w:rsidR="00DC3499" w:rsidRPr="00DC3499" w:rsidRDefault="00DC3499" w:rsidP="00DC3499">
                  <w:pPr>
                    <w:tabs>
                      <w:tab w:val="center" w:pos="2271"/>
                      <w:tab w:val="center" w:pos="4251"/>
                      <w:tab w:val="center" w:pos="659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Milli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Eğitim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Milli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Savunma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Orman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Su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İşleri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center" w:pos="1595"/>
                      <w:tab w:val="center" w:pos="3514"/>
                      <w:tab w:val="center" w:pos="5518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center" w:pos="3171"/>
                      <w:tab w:val="center" w:pos="551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R. AKDAĞ</w:t>
                  </w: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  <w:t>E. BAYRAKTAR</w:t>
                  </w:r>
                </w:p>
                <w:p w:rsidR="00DC3499" w:rsidRPr="00DC3499" w:rsidRDefault="00DC3499" w:rsidP="00DC3499">
                  <w:pPr>
                    <w:tabs>
                      <w:tab w:val="center" w:pos="3171"/>
                      <w:tab w:val="center" w:pos="5511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Sağlık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ab/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Ulaştırma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Denizcilik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Haberleşme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>Bakanı</w:t>
                  </w:r>
                  <w:proofErr w:type="spellEnd"/>
                  <w:r w:rsidRPr="00DC3499"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  <w:t xml:space="preserve"> V.</w:t>
                  </w:r>
                </w:p>
                <w:p w:rsidR="00DC3499" w:rsidRPr="00DC3499" w:rsidRDefault="00DC3499" w:rsidP="00DC3499">
                  <w:pPr>
                    <w:tabs>
                      <w:tab w:val="center" w:pos="2275"/>
                      <w:tab w:val="center" w:pos="4615"/>
                    </w:tabs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4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Pro W3" w:hAnsi="Times New Roman" w:cs="Times New Roman"/>
                      <w:b/>
                      <w:sz w:val="18"/>
                      <w:szCs w:val="18"/>
                      <w:lang w:val="en-GB"/>
                    </w:rPr>
                  </w:pPr>
                  <w:bookmarkStart w:id="0" w:name="_GoBack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6306 SAYILI KANUN KAPSAMINDA HAK SAHİPLERİNCE BANKALARDAN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KULLANILACAK KREDİLERE SAĞLANACAK FAİZ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DESTEĞİNE İLİŞKİN KARAR</w:t>
                  </w:r>
                </w:p>
                <w:bookmarkEnd w:id="0"/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Amaç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kapsam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1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amacı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16/5/2012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Afet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Riski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Altındaki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Alanların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Dönüştürülmesi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Hakkında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7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nci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maddesinin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altıncı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fıkrası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sahiplerince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kullanılacak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esasların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belirlenmesidir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Tanımlar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2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uygulanmasında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;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a)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Çevre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Şehircilik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b)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Çevre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Şehircilik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Bakanlığını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c) Banka: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imzalaması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kaydıyla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sağlayacak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mevduat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katılım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ç)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tahakkuk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oranlar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çerçevesinde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dönüşüm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projeleri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özel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hesabından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karşılanacak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d)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Güçlendirme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ncı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maddesinin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sekizinci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fıkrası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riskli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rezerv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alanı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dışında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olup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öngördüğü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amaçlar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bakımından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güçlendirilebileceği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teknik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olarak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tespit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edilen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e)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sahibi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gerçek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tüzel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kişileri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f)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ilgili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hükümleri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çerçevesinde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7/5/2012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28285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Resmî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Gazete’de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yayımlanan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Kamu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Haznedarlığı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Genel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Tebliğinin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5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inci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maddesinin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üçüncü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fıkrasında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nezdinde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oluşturulan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dönüşüm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projeleri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özel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hesabını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lastRenderedPageBreak/>
                    <w:t xml:space="preserve">g)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sahiplerince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Türk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Lirası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cinsinden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kullanılacak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güçlendirme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ğ)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: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ncı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maddesinin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üçüncü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fıkrası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konutunu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/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işyerini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kendi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imkanları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yapmak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da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edinmek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isteyenlere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verilen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,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proofErr w:type="spellStart"/>
                  <w:proofErr w:type="gram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ifade</w:t>
                  </w:r>
                  <w:proofErr w:type="spellEnd"/>
                  <w:proofErr w:type="gram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Genel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esaslar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3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belirlenmesinde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hesabın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gelir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durumu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bakiyesi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hesaba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aktarılacak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ödenek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uyum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dikkate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alınır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(2)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geçen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ibareleri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katılım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fonlar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kâr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payını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ifade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(3)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;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destekten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yararlanacak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koşullara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başvuruların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değerlendirilmesi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kabulüne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dair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hususlar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istenilecek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belgelere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temerrüt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tazmin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takip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tahsilat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diğer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hususlara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prensip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uygulamaları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temel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bankacılık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uygulamaları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uyumlu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olmak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kaydıyla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belirlemeye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yetkilidir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(4)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sahibi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da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aynı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tür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aynı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yararlanamaz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(5)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kullandırılacak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hususlar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belirlenir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sağlanmasına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esaslar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4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kendisine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başvuran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imzalar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(2)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almayan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kullandırmaya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usul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esasları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arasında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gerçekleştirilecek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belirlenir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(3)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verilecek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bankanın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kullandırılan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taksit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vadesi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sonuna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kadar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hesaplanan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her ay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kendi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kayıtlarına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göre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kesinleşmiş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aylık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tutarlarını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Bakanlığa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bildirmesini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takiben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Bakanlıkça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gerçekleştirilir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(4)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denetimler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Denetimlerde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bildirimler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nedeniyle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fazla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yapıldığının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tespit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edilmesi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halinde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fazla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6183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Amme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Alacaklarının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Tahsil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Usulü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Hakkında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belirtilen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gecikme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zammı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birlikte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tebliğini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takip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10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iş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günü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içerisinde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hesaba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nakden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ödenir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Denetim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sonucunda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bildirimler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nedeniyle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eksik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yapıldığının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tespiti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halinde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ise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Bakanlıkça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hesaptan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nakden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karşılanır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fıkra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yapılması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durumunda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Bakanlıkça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ödenecek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tutarlara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yürütülmez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(5)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talep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edilecek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ücret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sigorta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benzeri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giderler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ödenir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(6)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yapılacak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kullanacakları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anapara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riski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dışında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kalan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ödemelerinden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doğan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risk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tamamen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aittir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Banka,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başvurularını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hükümleri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bankanın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kredilendirme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usul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esas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mevzuatı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çerçevesinde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değerlendirir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gerekli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gördüğünde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otuz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önce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protokol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taraflarını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bilgilendirmek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kaydı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uygulamasını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ilk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kez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tahsis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edilecek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açısından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durdurmaya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yetkilidir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(7)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ilişkin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takip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tahsil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sorumluluğu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tamamen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bankaya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ait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olup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söz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konusu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Bakanlıktan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herhangi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talepte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bulunulmaz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(8)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gerçekleştirilmeyen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durdurulur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(9)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Zorunlu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deprem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sigortası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binalar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6306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sayılı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Kanun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çerçevesinde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güçlendirme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yapım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sahiplerinin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bahse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konu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devam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edebilmesi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zorunlu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deprem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sigortası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yaptırmaları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şarttır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(10)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31/12/2013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tarihine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kadar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için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uygulanır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 xml:space="preserve"> limit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5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kapsamında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aşağıdaki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koşul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limitlere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göre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uygulanır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.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oranı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sağlandığı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tarihteki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oran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esas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alınarak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kredinin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ömrü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boyunca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uygulanır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değiştirilmez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auto"/>
                    <w:jc w:val="center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>
                    <w:rPr>
                      <w:rFonts w:ascii="Times New Roman" w:eastAsia="ヒラギノ明朝Pro W3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429125" cy="1400175"/>
                        <wp:effectExtent l="19050" t="0" r="9525" b="0"/>
                        <wp:docPr id="1" name="Resim 1" descr="20121013-3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013-3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auto"/>
                    <w:jc w:val="center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lastRenderedPageBreak/>
                    <w:t xml:space="preserve">(2)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anapara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ödemeleri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bu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maddede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belirtilen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azami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ödemesiz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dönemi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aşmamak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üzere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inşaatın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tamamlandığı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tarihten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itibaren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başlar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(3)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sahibi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adına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toplam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tutarı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500.000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TL'yi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geçemez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Raporlama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6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kredilerin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miktarı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koşulları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aylık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olarak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tarafından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takip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eden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ayın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15'ine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kadar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Bakanlığa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iletilir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(2)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Bakanlık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,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sağlanacak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faiz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desteği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ilgili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sınırlı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olmak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kaydıyla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bankalardan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her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türlü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bilgi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ve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belgeyi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istemeye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yetkilidir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Yürürlük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7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yayımı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tarihinde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yürürlüğe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girer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</w:pP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Yürütme</w:t>
                  </w:r>
                  <w:proofErr w:type="spellEnd"/>
                </w:p>
                <w:p w:rsidR="00DC3499" w:rsidRPr="00DC3499" w:rsidRDefault="00DC3499" w:rsidP="00DC3499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Pro W3" w:hAnsi="Times New Roman" w:cs="Times New Roman"/>
                      <w:sz w:val="18"/>
                      <w:szCs w:val="18"/>
                      <w:lang w:val="en-GB"/>
                    </w:rPr>
                  </w:pPr>
                  <w:r w:rsidRPr="00DC3499">
                    <w:rPr>
                      <w:rFonts w:ascii="Times New Roman" w:eastAsia="ヒラギノ明朝Pro W3" w:hAnsi="Times New Roman" w:cs="Times New Roman"/>
                      <w:b/>
                      <w:sz w:val="18"/>
                      <w:lang w:val="en-GB"/>
                    </w:rPr>
                    <w:t>MADDE 8 –</w:t>
                  </w:r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(1) Bu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Karar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hükümlerini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Bakan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yürütür</w:t>
                  </w:r>
                  <w:proofErr w:type="spellEnd"/>
                  <w:r w:rsidRPr="00DC3499">
                    <w:rPr>
                      <w:rFonts w:ascii="Times New Roman" w:eastAsia="ヒラギノ明朝Pro W3" w:hAnsi="Times New Roman" w:cs="Times New Roman"/>
                      <w:sz w:val="18"/>
                      <w:lang w:val="en-GB"/>
                    </w:rPr>
                    <w:t>.</w:t>
                  </w:r>
                </w:p>
              </w:tc>
            </w:tr>
          </w:tbl>
          <w:p w:rsidR="00DC3499" w:rsidRPr="00DC3499" w:rsidRDefault="00DC3499" w:rsidP="00DC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39D" w:rsidRDefault="0038339D"/>
    <w:sectPr w:rsidR="0038339D" w:rsidSect="0038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99"/>
    <w:rsid w:val="0038339D"/>
    <w:rsid w:val="004A7506"/>
    <w:rsid w:val="00D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DC3499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customStyle="1" w:styleId="Normal1">
    <w:name w:val="Normal1"/>
    <w:rsid w:val="00DC349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 Baslık"/>
    <w:rsid w:val="00DC3499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customStyle="1" w:styleId="Normal1">
    <w:name w:val="Normal1"/>
    <w:rsid w:val="00DC349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nejmi.atila</dc:creator>
  <cp:lastModifiedBy>ozgur kalender</cp:lastModifiedBy>
  <cp:revision>2</cp:revision>
  <dcterms:created xsi:type="dcterms:W3CDTF">2014-10-25T20:33:00Z</dcterms:created>
  <dcterms:modified xsi:type="dcterms:W3CDTF">2014-10-25T20:33:00Z</dcterms:modified>
</cp:coreProperties>
</file>